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0D" w:rsidRDefault="0037270D" w:rsidP="0037270D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Муниципальное казенное общеобразовательное учреждение "Хновская средняя общеобразовательная школа"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37270D">
        <w:rPr>
          <w:rFonts w:ascii="Times New Roman" w:hAnsi="Times New Roman" w:cs="Times New Roman"/>
          <w:b/>
          <w:bCs/>
          <w:sz w:val="28"/>
        </w:rPr>
        <w:t>Механизмы мотивации и поощрения наставников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0" w:name="100166"/>
      <w:bookmarkStart w:id="1" w:name="100167"/>
      <w:bookmarkEnd w:id="0"/>
      <w:bookmarkEnd w:id="1"/>
      <w:r w:rsidRPr="0037270D">
        <w:rPr>
          <w:rFonts w:ascii="Times New Roman" w:hAnsi="Times New Roman" w:cs="Times New Roman"/>
          <w:sz w:val="28"/>
        </w:rPr>
        <w:t xml:space="preserve">1.1. К числу лучших мотивирующих наставника факторов можно отнести поддержку системы наставничества на общественном, муниципальном и государственном </w:t>
      </w:r>
      <w:proofErr w:type="gramStart"/>
      <w:r w:rsidRPr="0037270D">
        <w:rPr>
          <w:rFonts w:ascii="Times New Roman" w:hAnsi="Times New Roman" w:cs="Times New Roman"/>
          <w:sz w:val="28"/>
        </w:rPr>
        <w:t>уровнях</w:t>
      </w:r>
      <w:proofErr w:type="gramEnd"/>
      <w:r w:rsidRPr="0037270D">
        <w:rPr>
          <w:rFonts w:ascii="Times New Roman" w:hAnsi="Times New Roman" w:cs="Times New Roman"/>
          <w:sz w:val="28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2" w:name="100168"/>
      <w:bookmarkEnd w:id="2"/>
      <w:proofErr w:type="gramStart"/>
      <w:r w:rsidRPr="0037270D">
        <w:rPr>
          <w:rFonts w:ascii="Times New Roman" w:hAnsi="Times New Roman" w:cs="Times New Roman"/>
          <w:sz w:val="28"/>
        </w:rPr>
        <w:t>Важно популяризировать роль наставника среди образовательных и общественных организаций; сообществ выпускников школ, профессиональных образовательных организаций, образовательных организаций высшего образования, детских домов; компаний-партнеров; ассоциаций психологов и психотерапевтов; волонтерских и благотворительных организаций; социальных сетей и т.п.; рассказывать о преимуществах роли наставника: возможностях личностного и социального роста, получения новых знаний и навыков.</w:t>
      </w:r>
      <w:proofErr w:type="gramEnd"/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3" w:name="100169"/>
      <w:bookmarkEnd w:id="3"/>
      <w:r w:rsidRPr="0037270D">
        <w:rPr>
          <w:rFonts w:ascii="Times New Roman" w:hAnsi="Times New Roman" w:cs="Times New Roman"/>
          <w:sz w:val="28"/>
        </w:rPr>
        <w:t>1.2. В целях популяризации роли наставника можно рекомендовать следующие меры: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4" w:name="100170"/>
      <w:bookmarkEnd w:id="4"/>
      <w:r w:rsidRPr="0037270D">
        <w:rPr>
          <w:rFonts w:ascii="Times New Roman" w:hAnsi="Times New Roman" w:cs="Times New Roman"/>
          <w:sz w:val="28"/>
        </w:rPr>
        <w:t>организацию и проведение фестивалей, форумов, конференций наставников на муниципальном, региональном и федеральном уровнях;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5" w:name="100171"/>
      <w:bookmarkEnd w:id="5"/>
      <w:r w:rsidRPr="0037270D">
        <w:rPr>
          <w:rFonts w:ascii="Times New Roman" w:hAnsi="Times New Roman" w:cs="Times New Roman"/>
          <w:sz w:val="28"/>
        </w:rPr>
        <w:t>проведение конкурсов профессионального мастерства "Наставник года", "Лучшая пара "</w:t>
      </w:r>
      <w:proofErr w:type="spellStart"/>
      <w:r w:rsidRPr="0037270D">
        <w:rPr>
          <w:rFonts w:ascii="Times New Roman" w:hAnsi="Times New Roman" w:cs="Times New Roman"/>
          <w:sz w:val="28"/>
        </w:rPr>
        <w:t>Наставник+</w:t>
      </w:r>
      <w:proofErr w:type="spellEnd"/>
      <w:r w:rsidRPr="0037270D">
        <w:rPr>
          <w:rFonts w:ascii="Times New Roman" w:hAnsi="Times New Roman" w:cs="Times New Roman"/>
          <w:sz w:val="28"/>
        </w:rPr>
        <w:t>" и т.д.;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6" w:name="100172"/>
      <w:bookmarkEnd w:id="6"/>
      <w:proofErr w:type="gramStart"/>
      <w:r w:rsidRPr="0037270D">
        <w:rPr>
          <w:rFonts w:ascii="Times New Roman" w:hAnsi="Times New Roman" w:cs="Times New Roman"/>
          <w:sz w:val="28"/>
        </w:rPr>
        <w:t>поддержку системы наставничества через СМИ, создание специальной рубрики в социальных сетях или интернет-издании, например, "Наши наставники": истории о внедрении программы наставничества, о ее результатах, успешные истории взаимодействия наставника и наставляемого; интервью с известными людьми о том, кто был их наставником, почему это важно для них и т.д.);</w:t>
      </w:r>
      <w:proofErr w:type="gramEnd"/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7" w:name="100173"/>
      <w:bookmarkEnd w:id="7"/>
      <w:r w:rsidRPr="0037270D">
        <w:rPr>
          <w:rFonts w:ascii="Times New Roman" w:hAnsi="Times New Roman" w:cs="Times New Roman"/>
          <w:sz w:val="28"/>
        </w:rPr>
        <w:t>участие руководителей всех уровней в программах наставничества;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8" w:name="100174"/>
      <w:bookmarkEnd w:id="8"/>
      <w:r w:rsidRPr="0037270D">
        <w:rPr>
          <w:rFonts w:ascii="Times New Roman" w:hAnsi="Times New Roman" w:cs="Times New Roman"/>
          <w:sz w:val="28"/>
        </w:rPr>
        <w:t>организацию сообще</w:t>
      </w:r>
      <w:proofErr w:type="gramStart"/>
      <w:r w:rsidRPr="0037270D">
        <w:rPr>
          <w:rFonts w:ascii="Times New Roman" w:hAnsi="Times New Roman" w:cs="Times New Roman"/>
          <w:sz w:val="28"/>
        </w:rPr>
        <w:t>ств дл</w:t>
      </w:r>
      <w:proofErr w:type="gramEnd"/>
      <w:r w:rsidRPr="0037270D">
        <w:rPr>
          <w:rFonts w:ascii="Times New Roman" w:hAnsi="Times New Roman" w:cs="Times New Roman"/>
          <w:sz w:val="28"/>
        </w:rPr>
        <w:t>я наставников с возможностью быстрого оповещения о новых интересных проектах, мероприятиях, разработках и т.д.;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9" w:name="100175"/>
      <w:bookmarkEnd w:id="9"/>
      <w:r w:rsidRPr="0037270D">
        <w:rPr>
          <w:rFonts w:ascii="Times New Roman" w:hAnsi="Times New Roman" w:cs="Times New Roman"/>
          <w:sz w:val="28"/>
        </w:rPr>
        <w:t xml:space="preserve">проведение </w:t>
      </w:r>
      <w:proofErr w:type="spellStart"/>
      <w:r w:rsidRPr="0037270D">
        <w:rPr>
          <w:rFonts w:ascii="Times New Roman" w:hAnsi="Times New Roman" w:cs="Times New Roman"/>
          <w:sz w:val="28"/>
        </w:rPr>
        <w:t>фотосессий</w:t>
      </w:r>
      <w:proofErr w:type="spellEnd"/>
      <w:r w:rsidRPr="0037270D">
        <w:rPr>
          <w:rFonts w:ascii="Times New Roman" w:hAnsi="Times New Roman" w:cs="Times New Roman"/>
          <w:sz w:val="28"/>
        </w:rPr>
        <w:t xml:space="preserve"> с выпуском открыток, плакатов, календарей, </w:t>
      </w:r>
      <w:proofErr w:type="spellStart"/>
      <w:r w:rsidRPr="0037270D">
        <w:rPr>
          <w:rFonts w:ascii="Times New Roman" w:hAnsi="Times New Roman" w:cs="Times New Roman"/>
          <w:sz w:val="28"/>
        </w:rPr>
        <w:t>постеров</w:t>
      </w:r>
      <w:proofErr w:type="spellEnd"/>
      <w:r w:rsidRPr="0037270D">
        <w:rPr>
          <w:rFonts w:ascii="Times New Roman" w:hAnsi="Times New Roman" w:cs="Times New Roman"/>
          <w:sz w:val="28"/>
        </w:rPr>
        <w:t xml:space="preserve"> "Наши наставники", которые распространяются среди образовательных организаций, компаний, учреждений социальной сферы и т.д.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10" w:name="100176"/>
      <w:bookmarkEnd w:id="10"/>
      <w:r w:rsidRPr="0037270D">
        <w:rPr>
          <w:rFonts w:ascii="Times New Roman" w:hAnsi="Times New Roman" w:cs="Times New Roman"/>
          <w:sz w:val="28"/>
        </w:rPr>
        <w:t xml:space="preserve">Общественное признание позволяет наставникам ощутить собственную </w:t>
      </w:r>
      <w:proofErr w:type="spellStart"/>
      <w:r w:rsidRPr="0037270D">
        <w:rPr>
          <w:rFonts w:ascii="Times New Roman" w:hAnsi="Times New Roman" w:cs="Times New Roman"/>
          <w:sz w:val="28"/>
        </w:rPr>
        <w:t>востребованность</w:t>
      </w:r>
      <w:proofErr w:type="spellEnd"/>
      <w:r w:rsidRPr="0037270D">
        <w:rPr>
          <w:rFonts w:ascii="Times New Roman" w:hAnsi="Times New Roman" w:cs="Times New Roman"/>
          <w:sz w:val="28"/>
        </w:rPr>
        <w:t>, значимость и полезность не только для отдельно взятых людей, но для общества, региона, в котором они живут. Публичное признание значимости работы наставников для образовательной организации, компании, региона в целом, повышение их авторитета в коллективе будет способствовать расширению пула наставников.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11" w:name="100177"/>
      <w:bookmarkEnd w:id="11"/>
      <w:r w:rsidRPr="0037270D">
        <w:rPr>
          <w:rFonts w:ascii="Times New Roman" w:hAnsi="Times New Roman" w:cs="Times New Roman"/>
          <w:sz w:val="28"/>
        </w:rPr>
        <w:t>1.3. Возможные нематериальные (моральные) формы поощрений наставников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12" w:name="100178"/>
      <w:bookmarkEnd w:id="12"/>
      <w:r w:rsidRPr="0037270D">
        <w:rPr>
          <w:rFonts w:ascii="Times New Roman" w:hAnsi="Times New Roman" w:cs="Times New Roman"/>
          <w:sz w:val="28"/>
        </w:rPr>
        <w:t xml:space="preserve">Поощрение наставников по результатам участия в ежегодном конкурсе (премии) на лучшего наставника муниципалитета (региона). Кандидатуры претендентов предоставляются образовательными организациями в органы управления образованием. Порядок выбора лучшего наставника из числа представленных кандидатур </w:t>
      </w:r>
      <w:r w:rsidRPr="0037270D">
        <w:rPr>
          <w:rFonts w:ascii="Times New Roman" w:hAnsi="Times New Roman" w:cs="Times New Roman"/>
          <w:sz w:val="28"/>
        </w:rPr>
        <w:lastRenderedPageBreak/>
        <w:t>утверждается приказом органа управления образованием субъекта Российской Федерации; наставник, признанный лучшим, может быть награжден (удостоен):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13" w:name="100179"/>
      <w:bookmarkEnd w:id="13"/>
      <w:r w:rsidRPr="0037270D">
        <w:rPr>
          <w:rFonts w:ascii="Times New Roman" w:hAnsi="Times New Roman" w:cs="Times New Roman"/>
          <w:sz w:val="28"/>
        </w:rPr>
        <w:t>почетной грамотой;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14" w:name="100180"/>
      <w:bookmarkEnd w:id="14"/>
      <w:r w:rsidRPr="0037270D">
        <w:rPr>
          <w:rFonts w:ascii="Times New Roman" w:hAnsi="Times New Roman" w:cs="Times New Roman"/>
          <w:sz w:val="28"/>
        </w:rPr>
        <w:t>почетного звания "Лучший наставник";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15" w:name="100181"/>
      <w:bookmarkEnd w:id="15"/>
      <w:r w:rsidRPr="0037270D">
        <w:rPr>
          <w:rFonts w:ascii="Times New Roman" w:hAnsi="Times New Roman" w:cs="Times New Roman"/>
          <w:sz w:val="28"/>
        </w:rPr>
        <w:t>нагрудным знаком наставника;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16" w:name="100182"/>
      <w:bookmarkEnd w:id="16"/>
      <w:r w:rsidRPr="0037270D">
        <w:rPr>
          <w:rFonts w:ascii="Times New Roman" w:hAnsi="Times New Roman" w:cs="Times New Roman"/>
          <w:sz w:val="28"/>
        </w:rPr>
        <w:t>иные.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17" w:name="100183"/>
      <w:bookmarkEnd w:id="17"/>
      <w:r w:rsidRPr="0037270D">
        <w:rPr>
          <w:rFonts w:ascii="Times New Roman" w:hAnsi="Times New Roman" w:cs="Times New Roman"/>
          <w:sz w:val="28"/>
        </w:rPr>
        <w:t xml:space="preserve">Также могут </w:t>
      </w:r>
      <w:proofErr w:type="gramStart"/>
      <w:r w:rsidRPr="0037270D">
        <w:rPr>
          <w:rFonts w:ascii="Times New Roman" w:hAnsi="Times New Roman" w:cs="Times New Roman"/>
          <w:sz w:val="28"/>
        </w:rPr>
        <w:t>применятся</w:t>
      </w:r>
      <w:proofErr w:type="gramEnd"/>
      <w:r w:rsidRPr="0037270D">
        <w:rPr>
          <w:rFonts w:ascii="Times New Roman" w:hAnsi="Times New Roman" w:cs="Times New Roman"/>
          <w:sz w:val="28"/>
        </w:rPr>
        <w:t xml:space="preserve"> в целях поощрения: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18" w:name="100184"/>
      <w:bookmarkEnd w:id="18"/>
      <w:r w:rsidRPr="0037270D">
        <w:rPr>
          <w:rFonts w:ascii="Times New Roman" w:hAnsi="Times New Roman" w:cs="Times New Roman"/>
          <w:sz w:val="28"/>
        </w:rPr>
        <w:t>благодарственные письма родителям наставников из числа обучающихся;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19" w:name="100185"/>
      <w:bookmarkEnd w:id="19"/>
      <w:r w:rsidRPr="0037270D">
        <w:rPr>
          <w:rFonts w:ascii="Times New Roman" w:hAnsi="Times New Roman" w:cs="Times New Roman"/>
          <w:sz w:val="28"/>
        </w:rPr>
        <w:t>размещение фотографий лучших наставников на Доске почета образовательной организации, организации (предприятия), предоставляющих наставника для участия в программе;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20" w:name="100186"/>
      <w:bookmarkEnd w:id="20"/>
      <w:r w:rsidRPr="0037270D">
        <w:rPr>
          <w:rFonts w:ascii="Times New Roman" w:hAnsi="Times New Roman" w:cs="Times New Roman"/>
          <w:sz w:val="28"/>
        </w:rPr>
        <w:t>предоставление наставникам возможности принимать участие в формировании предложений, касающихся развития организации; рекомендации при трудоустройстве;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21" w:name="100187"/>
      <w:bookmarkEnd w:id="21"/>
      <w:r w:rsidRPr="0037270D">
        <w:rPr>
          <w:rFonts w:ascii="Times New Roman" w:hAnsi="Times New Roman" w:cs="Times New Roman"/>
          <w:sz w:val="28"/>
        </w:rPr>
        <w:t>образовательное стимулирование (привлечение к участию в образовательных программах, семинарах, тренингах и иных мероприятиях подобного рода);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22" w:name="100188"/>
      <w:bookmarkEnd w:id="22"/>
      <w:r w:rsidRPr="0037270D">
        <w:rPr>
          <w:rFonts w:ascii="Times New Roman" w:hAnsi="Times New Roman" w:cs="Times New Roman"/>
          <w:sz w:val="28"/>
        </w:rPr>
        <w:t>нематериальное поощрение на рабочем месте: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23" w:name="100189"/>
      <w:bookmarkEnd w:id="23"/>
      <w:r w:rsidRPr="0037270D">
        <w:rPr>
          <w:rFonts w:ascii="Times New Roman" w:hAnsi="Times New Roman" w:cs="Times New Roman"/>
          <w:sz w:val="28"/>
        </w:rPr>
        <w:t>получение дополнительных дней к отпуску;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24" w:name="100190"/>
      <w:bookmarkEnd w:id="24"/>
      <w:r w:rsidRPr="0037270D">
        <w:rPr>
          <w:rFonts w:ascii="Times New Roman" w:hAnsi="Times New Roman" w:cs="Times New Roman"/>
          <w:sz w:val="28"/>
        </w:rPr>
        <w:t>расширенная медицинская страховка;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25" w:name="100191"/>
      <w:bookmarkEnd w:id="25"/>
      <w:r w:rsidRPr="0037270D">
        <w:rPr>
          <w:rFonts w:ascii="Times New Roman" w:hAnsi="Times New Roman" w:cs="Times New Roman"/>
          <w:sz w:val="28"/>
        </w:rPr>
        <w:t>иные льготы и преимущества, предусмотренные в организации, в которой работает наставник.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26" w:name="100192"/>
      <w:bookmarkEnd w:id="26"/>
      <w:r w:rsidRPr="0037270D">
        <w:rPr>
          <w:rFonts w:ascii="Times New Roman" w:hAnsi="Times New Roman" w:cs="Times New Roman"/>
          <w:sz w:val="28"/>
        </w:rPr>
        <w:t>1.4. 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формат общественного признания и поощрения.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27" w:name="100193"/>
      <w:bookmarkEnd w:id="27"/>
      <w:r w:rsidRPr="0037270D">
        <w:rPr>
          <w:rFonts w:ascii="Times New Roman" w:hAnsi="Times New Roman" w:cs="Times New Roman"/>
          <w:sz w:val="28"/>
        </w:rPr>
        <w:t>Основными элементами иерархической системы являются: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28" w:name="100194"/>
      <w:bookmarkEnd w:id="28"/>
      <w:r w:rsidRPr="0037270D">
        <w:rPr>
          <w:rFonts w:ascii="Times New Roman" w:hAnsi="Times New Roman" w:cs="Times New Roman"/>
          <w:sz w:val="28"/>
        </w:rPr>
        <w:t xml:space="preserve">достижения: визуальное (материальное) выражение результата (медаль, поощрение, определенные очки). </w:t>
      </w:r>
      <w:proofErr w:type="gramStart"/>
      <w:r w:rsidRPr="0037270D">
        <w:rPr>
          <w:rFonts w:ascii="Times New Roman" w:hAnsi="Times New Roman" w:cs="Times New Roman"/>
          <w:sz w:val="28"/>
        </w:rPr>
        <w:t>Достижения и награды рассматриваются наставником как признаки его заслуг, социального положения, символ причастности и большому проекту;</w:t>
      </w:r>
      <w:proofErr w:type="gramEnd"/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29" w:name="100195"/>
      <w:bookmarkEnd w:id="29"/>
      <w:r w:rsidRPr="0037270D">
        <w:rPr>
          <w:rFonts w:ascii="Times New Roman" w:hAnsi="Times New Roman" w:cs="Times New Roman"/>
          <w:sz w:val="28"/>
        </w:rPr>
        <w:t>глобальное значение: мотивацию наставников увеличивает вера в успех программы наставничества, в создание новой и масштабной системы;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30" w:name="100196"/>
      <w:bookmarkEnd w:id="30"/>
      <w:r w:rsidRPr="0037270D">
        <w:rPr>
          <w:rFonts w:ascii="Times New Roman" w:hAnsi="Times New Roman" w:cs="Times New Roman"/>
          <w:sz w:val="28"/>
        </w:rPr>
        <w:t>рейтинги и иерархия (персональная и групповая). Персональные рейтинги наставников публикуются для того, чтобы каждый участник программы мог видеть свой и чужие текущие уровни развития. Групповые рейтинги команд (наставник и наставляемый или наставник и группа наставляемых) публикуются на стендах образовательной организации, ее информационных порталах, на информационных порталах муниципальных методических центров по наставничеству для дополнительной мотивации всех участников программ.</w:t>
      </w:r>
    </w:p>
    <w:p w:rsidR="0037270D" w:rsidRPr="0037270D" w:rsidRDefault="0037270D" w:rsidP="0037270D">
      <w:pPr>
        <w:spacing w:after="0"/>
        <w:rPr>
          <w:rFonts w:ascii="Times New Roman" w:hAnsi="Times New Roman" w:cs="Times New Roman"/>
          <w:sz w:val="28"/>
        </w:rPr>
      </w:pPr>
      <w:bookmarkStart w:id="31" w:name="100197"/>
      <w:bookmarkEnd w:id="31"/>
      <w:r w:rsidRPr="0037270D">
        <w:rPr>
          <w:rFonts w:ascii="Times New Roman" w:hAnsi="Times New Roman" w:cs="Times New Roman"/>
          <w:sz w:val="28"/>
        </w:rPr>
        <w:t>1.1. В организации также могут быть предусмотрены различные виды материальных поощрений наставников, в том числе надбавка к заработной плате. В данном случае соответствующие изменения вносятся во внутренние документы организации, регламентирующие порядок оплаты труда и материального поощрения работников.</w:t>
      </w:r>
    </w:p>
    <w:p w:rsidR="002065F8" w:rsidRPr="0037270D" w:rsidRDefault="002065F8" w:rsidP="0037270D">
      <w:pPr>
        <w:spacing w:after="0"/>
        <w:rPr>
          <w:rFonts w:ascii="Times New Roman" w:hAnsi="Times New Roman" w:cs="Times New Roman"/>
          <w:sz w:val="28"/>
        </w:rPr>
      </w:pPr>
    </w:p>
    <w:sectPr w:rsidR="002065F8" w:rsidRPr="0037270D" w:rsidSect="0037270D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70D"/>
    <w:rsid w:val="002065F8"/>
    <w:rsid w:val="0037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4444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мирза_с</dc:creator>
  <cp:lastModifiedBy>мирза_с</cp:lastModifiedBy>
  <cp:revision>1</cp:revision>
  <dcterms:created xsi:type="dcterms:W3CDTF">2023-02-01T10:01:00Z</dcterms:created>
  <dcterms:modified xsi:type="dcterms:W3CDTF">2023-02-01T10:03:00Z</dcterms:modified>
</cp:coreProperties>
</file>